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BayMoG (Bayern) — Freistellungen</w:t>
      </w:r>
    </w:p>
    <w:p>
      <w:r>
        <w:rPr>
          <w:color w:val="555555"/>
          <w:sz w:val="18"/>
        </w:rPr>
        <w:t xml:space="preserve">Bayerisches Modellregionengesetz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Rechtsverordnung nach Art. 2 Satz 1 muss neben der Festsetzung als Modellregion enthalten</w:t>
      </w:r>
    </w:p>
    <w:p>
      <w:r>
        <w:t xml:space="preserve">1. eine Aufzählung der Vorschriften des Landesrechts, von deren Anwendung die Modellregion ganz oder teilweise freigestellt wird,</w:t>
      </w:r>
    </w:p>
    <w:p>
      <w:r>
        <w:t xml:space="preserve">2. eine Bestimmung, nach der die jeweilige Freistellung zu einem bestimmten Zeitpunkt beginnt und endet, spätestens mit Ablauf des 15. Mai 2031,</w:t>
      </w:r>
    </w:p>
    <w:p>
      <w:r>
        <w:t xml:space="preserve">3. einen Vorbehalt der nachträglichen Änderung oder Ergänzung einer Freistellung sowie</w:t>
      </w:r>
    </w:p>
    <w:p>
      <w:r>
        <w:t xml:space="preserve">4. einen Vorbehalt zur vorzeitigen Aufhebung der Freistellung.</w:t>
      </w:r>
    </w:p>
    <w:p>
      <w:r>
        <w:rPr>
          <w:color w:val="555555"/>
          <w:sz w:val="17"/>
        </w:rPr>
        <w:t xml:space="preserve">Zitiervorschlag: Art 3 BayMoG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