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BayMoG (Bayern) — Modellregionen, Verordnungsermächtigung</w:t>
      </w:r>
    </w:p>
    <w:p>
      <w:r>
        <w:rPr>
          <w:color w:val="555555"/>
          <w:sz w:val="18"/>
        </w:rPr>
        <w:t xml:space="preserve">Bayerisches Modellregionengesetz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Als Modellregion können durch Rechtsverordnung des Staatsministeriums des Innern, für Sport und Integration festgesetzt werden</w:t>
      </w:r>
    </w:p>
    <w:p>
      <w:r>
        <w:t xml:space="preserve">1. Landkreise, auch soweit es um Freistellungen für staatliche Landratsämter geht,</w:t>
      </w:r>
    </w:p>
    <w:p>
      <w:r>
        <w:t xml:space="preserve">2. kreisfreie Gemeinden,</w:t>
      </w:r>
    </w:p>
    <w:p>
      <w:r>
        <w:t xml:space="preserve">3. kreisangehörige Gemeinden und</w:t>
      </w:r>
    </w:p>
    <w:p>
      <w:r>
        <w:t xml:space="preserve">4. Verwaltungsgemeinschaften.</w:t>
      </w:r>
    </w:p>
    <w:p>
      <w:r>
        <w:t xml:space="preserve">Je Regierungsbezirk soll mindestens eine Modellregion festgesetzt werden. Ein Anspruch auf Festsetzung als Modellregion besteht nicht.</w:t>
      </w:r>
    </w:p>
    <w:p>
      <w:r>
        <w:rPr>
          <w:color w:val="555555"/>
          <w:sz w:val="17"/>
        </w:rPr>
        <w:t xml:space="preserve">Zitiervorschlag: Art 2 BayMoG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https://recht.nulegal.eu/gesetze/BayMoG/2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