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BayMinG (Bayern) — Verschwiegenheitspflicht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der Staatsregierung sind, auch nach Beendigung ihres Amtsverhältnisses, verpflichtet, über die ihnen amtlich bekannt gewordenen Angelegenheiten Verschwiegenheit zu bewahren. Dies gilt nicht für Mitteilungen im dienstlichen Verkehr oder über Tatsachen, die offenkundig sind oder ihrer Bedeutung nach keiner Geheimhaltung bedürfen.</w:t>
      </w:r>
    </w:p>
    <w:p>
      <w:r>
        <w:t xml:space="preserve">(2) Die Mitglieder der Staatsregierung dürfen, auch nach Beendigung ihres Amtsverhältnisses, über Angelegenheiten, über die sie Verschwiegenheit zu bewahren haben, ohne Genehmigung der Staatsregierung weder vor Gericht noch außergerichtlich aussagen oder Erklärungen abgeben.</w:t>
      </w:r>
    </w:p>
    <w:p>
      <w:r>
        <w:t xml:space="preserve">(3) Unberührt bleibt die gesetzlich begründete Pflicht, strafbare Handlungen anzuzeigen und bei Gefährdung der freiheitlich-demokratischen Grundordnung für deren Erhaltung einzutreten.</w:t>
      </w:r>
    </w:p>
    <w:p>
      <w:r>
        <w:rPr>
          <w:color w:val="555555"/>
          <w:sz w:val="17"/>
        </w:rPr>
        <w:t xml:space="preserve">Zitiervorschlag: Art 5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