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BayMinG (Bayern) — Inkrafttreten</w:t>
      </w:r>
    </w:p>
    <w:p>
      <w:r>
        <w:rPr>
          <w:color w:val="555555"/>
          <w:sz w:val="18"/>
        </w:rPr>
        <w:t xml:space="preserve">Bayerisches Ministergesetz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Dezember 1961 in Kraft.</w:t>
      </w:r>
    </w:p>
    <w:p>
      <w:r>
        <w:t xml:space="preserve">[Amtl. Anm.:] Betrifft die ursprüngliche Fassung vom 4. Dezember 1961 (GVBl. S. 243)</w:t>
      </w:r>
    </w:p>
    <w:p>
      <w:r>
        <w:rPr>
          <w:color w:val="555555"/>
          <w:sz w:val="17"/>
        </w:rPr>
        <w:t xml:space="preserve">Zitiervorschlag: Art 26 BayMinG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https://recht.nulegal.eu/gesetze/BayMinG/26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