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25e BayMinG (Bayern) — Übergangsregelungen zu dem bis 31. Dezember 2010 geltenden Recht</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Mitglieder der Staatsregierung, die vor dem 1. Januar 1952 geboren sind, findet Art. 15 Abs. 2 Satz 1 Nr. 3 in der am 31. Dezember 2010 geltenden Fassung Anwendung. Für Mitglieder der Staatsregierung, die nach dem 31. Dezember 1951 und vor dem 1. Januar 1964 geboren sind, gilt als Altersgrenze abweichend von Art. 15 Abs. 2 Satz 1 Nr. 3 der Beginn des Monats, in dem das in der Tabelle des Art. 143 Abs. 2 Satz 2 des Bayerischen Beamtengesetzes maßgebliche Lebensalter erreicht wird.</w:t>
      </w:r>
    </w:p>
    <w:p>
      <w:r>
        <w:t xml:space="preserve">(2) Für Mitglieder der Staatsregierung, die vor dem 1. Januar 1950 geboren sind, findet Art. 15 Abs. 2 Satz 2 in der am 31. Dezember 2010 geltenden Fassung Anwendung. Für Mitglieder der Staatsregierung, die nach dem 31. Dezember 1949 und vor dem 1. Januar 1964 geboren sind, gilt als Altersgrenze abweichend von Art. 15 Abs. 2 Satz 2 der Beginn des Monats, in dem das nach folgender Tabelle maßgebliche Lebensalter erreicht wird:</w:t>
      </w:r>
    </w:p>
    <w:p>
      <w:r>
        <w:t xml:space="preserve">Geburtsjahrgang/-monat</w:t>
      </w:r>
    </w:p>
    <w:p>
      <w:r>
        <w:t xml:space="preserve">Lebensalter</w:t>
      </w:r>
    </w:p>
    <w:p>
      <w:r>
        <w:t xml:space="preserve">1950</w:t>
      </w:r>
    </w:p>
    <w:p>
      <w:r>
        <w:t xml:space="preserve">Januar – März</w:t>
      </w:r>
    </w:p>
    <w:p>
      <w:r>
        <w:t xml:space="preserve">62 Jahre und 1 Monat</w:t>
      </w:r>
    </w:p>
    <w:p>
      <w:r>
        <w:t xml:space="preserve">April – Juni</w:t>
      </w:r>
    </w:p>
    <w:p>
      <w:r>
        <w:t xml:space="preserve">62 Jahre und 2 Monate</w:t>
      </w:r>
    </w:p>
    <w:p>
      <w:r>
        <w:t xml:space="preserve">Juli – September</w:t>
      </w:r>
    </w:p>
    <w:p>
      <w:r>
        <w:t xml:space="preserve">62 Jahre und 3 Monate</w:t>
      </w:r>
    </w:p>
    <w:p>
      <w:r>
        <w:t xml:space="preserve">Oktober – Dezember</w:t>
      </w:r>
    </w:p>
    <w:p>
      <w:r>
        <w:t xml:space="preserve">62 Jahre und 4 Monate</w:t>
      </w:r>
    </w:p>
    <w:p>
      <w:r>
        <w:t xml:space="preserve">1951</w:t>
      </w:r>
    </w:p>
    <w:p>
      <w:r>
        <w:t xml:space="preserve">62 Jahre und 5 Monate</w:t>
      </w:r>
    </w:p>
    <w:p>
      <w:r>
        <w:t xml:space="preserve">1952</w:t>
      </w:r>
    </w:p>
    <w:p>
      <w:r>
        <w:t xml:space="preserve">62 Jahre und 6 Monate</w:t>
      </w:r>
    </w:p>
    <w:p>
      <w:r>
        <w:t xml:space="preserve">1953</w:t>
      </w:r>
    </w:p>
    <w:p>
      <w:r>
        <w:t xml:space="preserve">62 Jahre und 7 Monate</w:t>
      </w:r>
    </w:p>
    <w:p>
      <w:r>
        <w:t xml:space="preserve">1954</w:t>
      </w:r>
    </w:p>
    <w:p>
      <w:r>
        <w:t xml:space="preserve">62 Jahre und 8 Monate</w:t>
      </w:r>
    </w:p>
    <w:p>
      <w:r>
        <w:t xml:space="preserve">1955</w:t>
      </w:r>
    </w:p>
    <w:p>
      <w:r>
        <w:t xml:space="preserve">62 Jahre und 9 Monate</w:t>
      </w:r>
    </w:p>
    <w:p>
      <w:r>
        <w:t xml:space="preserve">1956</w:t>
      </w:r>
    </w:p>
    <w:p>
      <w:r>
        <w:t xml:space="preserve">62 Jahre und 10 Monate</w:t>
      </w:r>
    </w:p>
    <w:p>
      <w:r>
        <w:t xml:space="preserve">1957</w:t>
      </w:r>
    </w:p>
    <w:p>
      <w:r>
        <w:t xml:space="preserve">62 Jahre und 11 Monate</w:t>
      </w:r>
    </w:p>
    <w:p>
      <w:r>
        <w:t xml:space="preserve">1958</w:t>
      </w:r>
    </w:p>
    <w:p>
      <w:r>
        <w:t xml:space="preserve">63 Jahre</w:t>
      </w:r>
    </w:p>
    <w:p>
      <w:r>
        <w:t xml:space="preserve">1959</w:t>
      </w:r>
    </w:p>
    <w:p>
      <w:r>
        <w:t xml:space="preserve">63 Jahre und 2 Monate</w:t>
      </w:r>
    </w:p>
    <w:p>
      <w:r>
        <w:t xml:space="preserve">1960</w:t>
      </w:r>
    </w:p>
    <w:p>
      <w:r>
        <w:t xml:space="preserve">63 Jahre und 4 Monate</w:t>
      </w:r>
    </w:p>
    <w:p>
      <w:r>
        <w:t xml:space="preserve">1961</w:t>
      </w:r>
    </w:p>
    <w:p>
      <w:r>
        <w:t xml:space="preserve">63 Jahre und 6 Monate</w:t>
      </w:r>
    </w:p>
    <w:p>
      <w:r>
        <w:t xml:space="preserve">1962</w:t>
      </w:r>
    </w:p>
    <w:p>
      <w:r>
        <w:t xml:space="preserve">63 Jahre und 8 Monate</w:t>
      </w:r>
    </w:p>
    <w:p>
      <w:r>
        <w:t xml:space="preserve">1963</w:t>
      </w:r>
    </w:p>
    <w:p>
      <w:r>
        <w:t xml:space="preserve">63 Jahre und 10 Monate</w:t>
      </w:r>
    </w:p>
    <w:p>
      <w:r>
        <w:t xml:space="preserve">(3) In den Fällen des Art. 15 Abs. 2 Satz 3 Nr. 2 gilt Art. 106 Abs. 3 BayBeamtVG sinngemäß. Bei mindestens zehnjähriger Amtszeit ist Art. 106 Abs. 3 BayBeamtVG mit der Maßgabe anzuwenden, dass an die Stelle des 63. Lebensjahres das 60. Lebensjahr und an die Stelle des 64. Lebensjahres das 61. Lebensjahr tritt.</w:t>
      </w:r>
    </w:p>
    <w:p>
      <w:r>
        <w:t xml:space="preserve">(4) Unbeschadet der Art. 24 bis 25c findet für die am 1. Januar 2011 vorhandenen ehemaligen Mitglieder der Staatsregierung Art. 15 Abs. 2 in der bis zum Ablauf des 31. Dezembers 2010 geltenden Fassung Anwendung. Entsprechendes gilt für Hinterbliebene von den in Satz 1 bezeichneten Versorgungsempfängern.</w:t>
      </w:r>
    </w:p>
    <w:p>
      <w:r>
        <w:t xml:space="preserve">(5) Für die Anwendung des Art. 22 Abs. 4 gilt Art. 101 Abs. 5 BayBeamtVG sinngemäß.</w:t>
      </w:r>
    </w:p>
    <w:p>
      <w:r>
        <w:rPr>
          <w:color w:val="555555"/>
          <w:sz w:val="17"/>
        </w:rPr>
        <w:t xml:space="preserve">Zitiervorschlag: Art 25e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https://recht.nulegal.eu/gesetze/BayMinG/25e</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