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25d BayMinG (Bayern) — Übergangsregelungen zu dem bis 31. Dezember 2003 geltenden Recht</w:t>
      </w:r>
    </w:p>
    <w:p>
      <w:r>
        <w:rPr>
          <w:color w:val="555555"/>
          <w:sz w:val="18"/>
        </w:rPr>
        <w:t xml:space="preserve">Bayerisches Ministergesetz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Unbeschadet der Art. 24 bis 25c findet für die am 1. Januar 2004 vorhandenen ehemaligen Mitglieder der Staatsregierung und ihre Hinterbliebenen Art. 15 Abs. 1 in der bis dahin geltenden Fassung Anwendung. Das Gleiche gilt für die am 1. Januar 2004 vorhandenen Mitglieder der Staatsregierung, soweit sie zu diesem Zeitpunkt die in Art. 15 Abs. 1 Satz 2 in der bis zum 31. Dezember 2003 geltenden Fassung bestimmte Amtszeit vollendet haben.</w:t>
      </w:r>
    </w:p>
    <w:p>
      <w:r>
        <w:rPr>
          <w:color w:val="555555"/>
          <w:sz w:val="17"/>
        </w:rPr>
        <w:t xml:space="preserve">Zitiervorschlag: Art 25d BayMinG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https://recht.nulegal.eu/gesetze/BayMinG/25d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