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25a BayMinG (Bayern) — Übergangsregelungen zu dem bis 31. Juli 1998 geltenden Recht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am 1. August 1998 vorhandenen Mitglieder der Staatsregierung und ehemaligen Mitglieder der Staatsregierung findet Art. 15 in der bis dahin geltenden Fassung Anwendung.</w:t>
      </w:r>
    </w:p>
    <w:p>
      <w:r>
        <w:t xml:space="preserve">(2) Für die Hinterbliebenen der am 1. August 1998 vorhandenen Mitglieder der Staatsregierung und ehemaligen Mitglieder der Staatsregierung finden Art. 16a Abs. 1 und 2 in der bis dahin geltenden Fassung Anwendung.</w:t>
      </w:r>
    </w:p>
    <w:p>
      <w:r>
        <w:rPr>
          <w:color w:val="555555"/>
          <w:sz w:val="17"/>
        </w:rPr>
        <w:t xml:space="preserve">Zitiervorschlag: Art 25a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https://recht.nulegal.eu/gesetze/BayMinG/25a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