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25 BayMinG (Bayern) — Übergangsregelungen zu dem bis zum 30. Juni 1993 geltenden Recht</w:t>
      </w:r>
    </w:p>
    <w:p>
      <w:r>
        <w:rPr>
          <w:color w:val="555555"/>
          <w:sz w:val="18"/>
        </w:rPr>
        <w:t xml:space="preserve">Bayerisches Ministergesetz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Rechtsverhältnisse der am 1. Juli 1993 vorhandenen ehemaligen Mitglieder der Staatsregierung sowie der Hinterbliebenen eines ehemaligen Mitglieds der Staatsregierung regeln sich nach dem bis zum 30. Juni 1993 geltenden Recht mit folgenden Maßgaben:</w:t>
      </w:r>
    </w:p>
    <w:p>
      <w:r>
        <w:t xml:space="preserve">1. Art. 3b Abs. 3, Art. 8 Abs. 5 und Art. 22 Abs. 5 finden Anwendung; Art. 22 Abs. 5 gilt nicht, solange eine am 30. Juni 1993 über diesen Zeitpunkt hinaus bestehende Beschäftigung oder Tätigkeit eines ehemaligen Mitglieds der Staatsregierung andauert.</w:t>
      </w:r>
    </w:p>
    <w:p>
      <w:r>
        <w:t xml:space="preserve">2. Die Rechtsverhältnisse der Hinterbliebenen eines ehemaligen Mitglieds der Staatsregierung, das nach dem 30. Juni 1993 verstorben ist, regeln sich nach den ab 1. Juli 1993 geltenden Vorschriften, jedoch unter Zugrundelegung des bisherigen Ruhegehalts. Art. 22 Abs. 4 findet keine Anwendung.</w:t>
      </w:r>
    </w:p>
    <w:p>
      <w:r>
        <w:t xml:space="preserve">3. Art. 10 Abs. 1 findet in der ab 1. Januar 2005 geltenden Fassung Anwendung.</w:t>
      </w:r>
    </w:p>
    <w:p>
      <w:r>
        <w:t xml:space="preserve">(2) Besteht ein Amtsverhältnis über den 30. Juni 1993 hinaus fort und hat zu diesem Zeitpunkt eine Mitgliedschaft in der Staatsregierung insgesamt mindestens zwei Jahre bestanden, so wird Art. 15 Abs. 3 in der bis dahin geltenden Fassung bis zum 30. Juni 1993 der Berechnung des Ruhegehaltssatzes zugrunde gelegt.</w:t>
      </w:r>
    </w:p>
    <w:p>
      <w:r>
        <w:t xml:space="preserve">(3) Wird ein ehemaliges Mitglied der Staatsregierung nach dem 30. Juni 1993 erneut Mitglied der Staatsregierung, bleibt der nach Absatz 1 oder Absatz 2 dem früheren Ruhegehalt zugrunde gelegte Ruhegehaltssatz gewahrt, wenn der Ruhegehaltssatz für das neue Ruhegehalt hinter dem Ruhegehaltssatz für das frühere Ruhegehalt zurückbleibt.</w:t>
      </w:r>
    </w:p>
    <w:p>
      <w:r>
        <w:t xml:space="preserve">(4) Art. 13 § 2 Abs. 2 Satz 1 des Fünften Gesetzes zur Änderung besoldungsrechtlicher Vorschriften vom 28. Mai 1990 (BGBl. I S. 967) findet bei den am 31. Dezember 1989 vorhandenen ehemaligen Mitgliedern der Staatsregierung und ihren Hinterbliebenen sinngemäß Anwendung.</w:t>
      </w:r>
    </w:p>
    <w:p>
      <w:r>
        <w:rPr>
          <w:color w:val="555555"/>
          <w:sz w:val="17"/>
        </w:rPr>
        <w:t xml:space="preserve">Zitiervorschlag: Art 25 BayMinG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https://recht.nulegal.eu/gesetze/BayMinG/25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