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24 BayMinG (Bayern) — Übergangsregelungen</w:t>
      </w:r>
    </w:p>
    <w:p>
      <w:r>
        <w:rPr>
          <w:color w:val="555555"/>
          <w:sz w:val="18"/>
        </w:rPr>
        <w:t xml:space="preserve">Bayerisches Ministergesetz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vor dem Inkrafttreten dieses Gesetzes eingetretenen Versorgungsfälle bleibt, vorbehaltlich des Absatzes 2, das bisherige Recht maßgebend. Dabei ist als Eintritt des Versorgungsfalls der Zeitpunkt der Beendigung des Amtsverhältnisses anzusehen.</w:t>
      </w:r>
    </w:p>
    <w:p>
      <w:r>
        <w:t xml:space="preserve">(2) Für die bei Inkrafttreten dieses Gesetzes vorhandenen ehemaligen Mitglieder der Staatsregierung und Hinterbliebenen gilt Art. 19 an Stelle der entsprechenden Vorschrift des bisherigen Rechts.</w:t>
      </w:r>
    </w:p>
    <w:p>
      <w:r>
        <w:rPr>
          <w:color w:val="555555"/>
          <w:sz w:val="17"/>
        </w:rPr>
        <w:t xml:space="preserve">Zitiervorschlag: Art 24 BayMinG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https://recht.nulegal.eu/gesetze/BayMinG/24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