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BayMinG (Bayern) — Durchführungsvorschriften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zur Durchführung dieses Gesetzes erforderlichen Vorschriften erläßt die Staatsregierung.</w:t>
      </w:r>
    </w:p>
    <w:p>
      <w:r>
        <w:t xml:space="preserve">(2) Das Staatsministerium der Finanzen und für Heimat setzt die Amtsbezüge fest. Ihm obliegt ferner die Festsetzung und Regelung der Versorgungsbezüge.</w:t>
      </w:r>
    </w:p>
    <w:p>
      <w:r>
        <w:rPr>
          <w:color w:val="555555"/>
          <w:sz w:val="17"/>
        </w:rPr>
        <w:t xml:space="preserve">Zitiervorschlag: Art 23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