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BayMinG (Bayern) — Zusammentreffen von Übergangsgeld und Ruhegehalt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Stehen einem ehemaligen Mitglied der Staatsregierung Übergangsgeld (Art. 14) und Ruhegehalt (Art. 15 und 17) für die gleiche Zeit zu, so werden die höheren Versorgungsbezüge gezahlt.</w:t>
      </w:r>
    </w:p>
    <w:p>
      <w:r>
        <w:t xml:space="preserve">(2) Absatz 1 ist auf die Hinterbliebenen entsprechend anzuwenden.</w:t>
      </w:r>
    </w:p>
    <w:p>
      <w:r>
        <w:rPr>
          <w:color w:val="555555"/>
          <w:sz w:val="17"/>
        </w:rPr>
        <w:t xml:space="preserve">Zitiervorschlag: Art 18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