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BayMinG (Bayern) — Ruhegehalt</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Mitglied der Staatsregierung erhält im Anschluß an die Amtsbezüge Ruhegehalt, wenn es das Amt eines Mitglieds der Staatsregierung mindestens fünf Jahre bekleidet hat. Als fünfjährige Amtszeit gilt auch eine ununterbrochene Amtsdauer, die um höchstens zwei Monate kürzer ist als eine volle Wahldauer des Landtags, wenn das Amtsverhältnis nach der Neuwahl des Landtags durch Bildung der neuen Staatsregierung endet.</w:t>
      </w:r>
    </w:p>
    <w:p>
      <w:r>
        <w:t xml:space="preserve">(2) Der Anspruch auf Ruhegehalt ruht bis zum Beginn des Monats, in dem</w:t>
      </w:r>
    </w:p>
    <w:p>
      <w:r>
        <w:t xml:space="preserve">1. die für Beamte des Freistaates Bayern geltende Regelaltersgrenze erreicht wird,</w:t>
      </w:r>
    </w:p>
    <w:p>
      <w:r>
        <w:t xml:space="preserve">2. das Ruhegehalt vorzeitig und unwiderruflich in Anspruch genommen wird,</w:t>
      </w:r>
    </w:p>
    <w:p>
      <w:r>
        <w:t xml:space="preserve">3. bei einer mindestens zehnjährigen Amtszeit das 62. Lebensjahr vollendet wird oder</w:t>
      </w:r>
    </w:p>
    <w:p>
      <w:r>
        <w:t xml:space="preserve">4. die Staatsregierung den Eintritt der Dienstunfähigkeit im Sinn des Bayerischen Beamtengesetzes feststellt.</w:t>
      </w:r>
    </w:p>
    <w:p>
      <w:r>
        <w:t xml:space="preserve">Die vorzeitige Inanspruchnahme nach Satz 1 Nr. 2 erfolgt auf unwiderruflichen Antrag zu Beginn des Antragsmonats, frühestens zu Beginn des Monats der Vollendung des 64. Lebensjahres. Das Ruhegehalt vermindert sich um 3,6 v.H. für jedes Jahr, um das das ehemalige Mitglied der Staatsregierung das Ruhegehalt</w:t>
      </w:r>
    </w:p>
    <w:p>
      <w:r>
        <w:t xml:space="preserve">1. vor Beginn des Monats, in dem die für Beamte des Freistaates Bayern geltende Regelaltersgrenze erreicht wird, vorzeitig in Anspruch nimmt,</w:t>
      </w:r>
    </w:p>
    <w:p>
      <w:r>
        <w:t xml:space="preserve">2. wegen Dienstunfähigkeit vor Beginn des Monats der Vollendung des 65. Lebensjahres, bei mindestens zehnjähriger Amtszeit vor Beginn des Monats der Vollendung des 62. Lebensjahres bezieht;</w:t>
      </w:r>
    </w:p>
    <w:p>
      <w:r>
        <w:t xml:space="preserve">die Minderung darf 10,8 v.H. nicht übersteigen. Als zehnjährige Amtszeit gilt auch eine Amtsdauer, die um höchstens zwei Monate kürzer ist als zwei volle Wahlperioden des Landtags, wenn das Amtsverhältnis nach der Neuwahl des Landtags durch Bildung der neuen Staatsregierung endet.</w:t>
      </w:r>
    </w:p>
    <w:p>
      <w:r>
        <w:t xml:space="preserve">(3) Hat ein Mitglied der Staatsregierung bei Ausübung seines Amts oder im Zusammenhang mit seiner Amtsführung ohne sein Verschulden eine Gesundheitsschädigung erlitten, die seine Arbeitskraft dauernd und so wesentlich beeinträchtigt, daß es nach Beendigung des Amtsverhältnisses zur Übernahme seiner früheren Tätigkeit oder einer ihr gleichwertigen Beschäftigung nicht mehr in der Lage ist, so erhält es, auch wenn die Voraussetzungen des Absatzes 1 nicht vorliegen, Ruhegehalt.</w:t>
      </w:r>
    </w:p>
    <w:p>
      <w:r>
        <w:t xml:space="preserve">(4) Das Ruhegehalt beträgt mindestens 30 v.H. der ruhegehaltfähigen Amtsbezüge; es erhöht sich nach einer Amtszeit von fünf Jahren für jedes weitere Jahr um 2,4 v.H. der ruhegehaltfähigen Amtsbezüge bis zum Höchstsatz von 71,75 v.H.</w:t>
      </w:r>
    </w:p>
    <w:p>
      <w:r>
        <w:t xml:space="preserve">(5) Ruhegehaltfähige Amtsbezüge im Sinn des Abs. 4 sind das Amtsgehalt, der Orts- und Familienzuschlag bis zur Stufe 1 sowie ruhegehaltfähige Zulagen.</w:t>
      </w:r>
    </w:p>
    <w:p>
      <w:r>
        <w:t xml:space="preserve">(6) Ein ehemaliges Mitglied der Staatsregierung, das die Voraussetzung des Abs. 1 nicht erfüllt, wird in sinngemäßer Anwendung der Vorschriften des Sechsten Buches Sozialgesetzbuch über die Nachversicherung auf Antrag für die Dauer der Amtszeit nachversichert. Dies gilt nicht, soweit die Amtszeit in einer öffentlich-rechtlichen Versicherung oder in einer Versorgung nach dienstrechtlichen Grundsätzen berücksichtigt ist oder wird. Stellt ein ehemaliges Mitglied der Staatsregierung einen Antrag nach Satz 1 oder führt die Anrechnung der Amtszeit nach Art. 21 Abs. 2 Satz 1 Nr. 6 des Gesetzes über kommunale Wahlbeamte und Wahlbeamtinnen zu einer Versorgung aus einem kommunalen Wahlbeamtenverhältnis, beginnt bei einer erneuten Berufung als Mitglied der Staatsregierung die Frist für die Mindestamtsdauer nach Abs. 1 neu zu laufen.</w:t>
      </w:r>
    </w:p>
    <w:p>
      <w:r>
        <w:rPr>
          <w:color w:val="555555"/>
          <w:sz w:val="17"/>
        </w:rPr>
        <w:t xml:space="preserve">Zitiervorschlag: Art 15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