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BayMinG (Bayern) — Amtsbezüge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Staatsregierung erhalten von Beginn des Kalendermonats an, in dem ihr Amtsverhältnis beginnt, bis zum Schluß des Kalendermonats, in dem ihr Amtsverhältnis endet, folgende Amtsbezüge:</w:t>
      </w:r>
    </w:p>
    <w:p>
      <w:r>
        <w:t xml:space="preserve">1. ein Amtsgehalt, und zwar</w:t>
      </w:r>
    </w:p>
    <w:p>
      <w:r>
        <w:t xml:space="preserve">a) der Ministerpräsident in Höhe des Grundgehalts der Besoldungsgruppe B 11 zuzüglich eines Zuschlags von sieben Fünfundzwanzigstel, der als Bestandteil des Amtsgehalts gilt,</w:t>
      </w:r>
    </w:p>
    <w:p>
      <w:r>
        <w:t xml:space="preserve">b) die Staatsminister in Höhe des Grundgehalts der Besoldungsgruppe B 11 zuzüglich eines Zuschlags von drei Sechzehntel, der als Bestandteil des Amtsgehalts gilt,</w:t>
      </w:r>
    </w:p>
    <w:p>
      <w:r>
        <w:t xml:space="preserve">c) die Staatssekretäre in Höhe des Grundgehalts der Besoldungsgruppe B 11 zuzüglich eines Zuschlags von zwei Einundzwanzigstel, der als Bestandteil des Amtsgehalts gilt,</w:t>
      </w:r>
    </w:p>
    <w:p>
      <w:r>
        <w:t xml:space="preserve">des Bayerischen Besoldungsgesetzes (BayBesG);</w:t>
      </w:r>
    </w:p>
    <w:p>
      <w:r>
        <w:t xml:space="preserve">2. einen Orts- und Familienzuschlag nach den für Beamte geltenden besoldungsrechtlichen Vorschriften;</w:t>
      </w:r>
    </w:p>
    <w:p>
      <w:r>
        <w:t xml:space="preserve">3. eine Dienstaufwandsentschädigung, und zwar</w:t>
      </w:r>
    </w:p>
    <w:p>
      <w:r>
        <w:t xml:space="preserve">a) der Ministerpräsident in Höhe von</w:t>
      </w:r>
    </w:p>
    <w:p>
      <w:r>
        <w:t xml:space="preserve">1150 €</w:t>
      </w:r>
    </w:p>
    <w:p>
      <w:r>
        <w:t xml:space="preserve">b) der Stellvertreter des Ministerpräsidenten in Höhe von</w:t>
      </w:r>
    </w:p>
    <w:p>
      <w:r>
        <w:t xml:space="preserve">900 €</w:t>
      </w:r>
    </w:p>
    <w:p>
      <w:r>
        <w:t xml:space="preserve">c) die Staatsminister in Höhe von</w:t>
      </w:r>
    </w:p>
    <w:p>
      <w:r>
        <w:t xml:space="preserve">650 €</w:t>
      </w:r>
    </w:p>
    <w:p>
      <w:r>
        <w:t xml:space="preserve">d) die Staatssekretäre in Höhe von</w:t>
      </w:r>
    </w:p>
    <w:p>
      <w:r>
        <w:t xml:space="preserve">400 €;</w:t>
      </w:r>
    </w:p>
    <w:p>
      <w:r>
        <w:t xml:space="preserve">4. Zulagen und Zuwendungen in entsprechender Anwendung der allgemein für Beamte des Freistaates Bayern geltenden Vorschriften.</w:t>
      </w:r>
    </w:p>
    <w:p>
      <w:r>
        <w:t xml:space="preserve">(2) Die Amtsbezüge werden monatlich im voraus gezahlt.</w:t>
      </w:r>
    </w:p>
    <w:p>
      <w:r>
        <w:t xml:space="preserve">(3) Für den gleichen Zeitraum werden Amtsbezüge nur einmal gewährt. Sind die Amtsbezüge verschieden hoch, so stehen dem Mitglied der Staatsregierung die höheren Bezüge zu.</w:t>
      </w:r>
    </w:p>
    <w:p>
      <w:r>
        <w:t xml:space="preserve">(4) Im Sinn der Abschnitte II bis V endet das Amtsverhältnis eines Mitglieds der Staatsregierung, das gemäß den in Art. 8 oder 9 getroffenen Bestimmungen seine Amtsgeschäfte weiterführt, erst mit der Beendigung der Geschäftsführung.</w:t>
      </w:r>
    </w:p>
    <w:p>
      <w:r>
        <w:t xml:space="preserve">(5) Erhält ein Mitglied der Staatsregierung für einen Zeitraum, für den ihm Amtsbezüge zustehen, eine Versorgung aus der Verwendung im öffentlichen Dienst einer zwischenstaatlichen oder überstaatlichen Einrichtung, gilt Art. 8 BayBesG sinngemäß. Beziehen Mitglieder der Staatsregierung ein Ruhegehalt nach Art. 14 oder Art. 15 des Beschlusses 2005/684/EG des Europäischen Parlaments (Abgeordnetenstatut), ruhen die Amtsbezüge um 50 v. H. des Ruhegehalts. Satz 2 gilt entsprechend beim Bezug von Übergangsgeld nach Art. 13 des Abgeordnetenstatuts. Art. 14 des Bayerischen Beamtengesetzes findet sinngemäß Anwendung.</w:t>
      </w:r>
    </w:p>
    <w:p>
      <w:r>
        <w:rPr>
          <w:color w:val="555555"/>
          <w:sz w:val="17"/>
        </w:rPr>
        <w:t xml:space="preserve">Zitiervorschlag: Art 10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