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BayMilchUmlV (Bayern)</w:t>
      </w:r>
    </w:p>
    <w:p>
      <w:r>
        <w:rPr>
          <w:color w:val="555555"/>
          <w:sz w:val="18"/>
        </w:rPr>
        <w:t xml:space="preserve">Bayerische Milchumlageverordnung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des § 22 Abs. 1 Sätze 1 bis 3 des Gesetzes über den Verkehr mit Milch, Milcherzeugnissen und Fetten – Milch- und Fettgesetz – (BGBl III 7842-1), zuletzt geändert durch Art. 198 der Verordnung vom 31. Oktober 2006 (BGBl I S. 2407), in Verbindung mit § 6 Nr. 1 der Verordnung über die Zuständigkeit zum Erlass von Rechtsverordnungen (Delegationsverordnung – DelV) vom 15. Juni 2004 (GVBl S. 239, BayRS 103-2-S), zuletzt geändert durch § 1 der Verordnung vom 4. September 2007 (GVBl S. 635), erlässt das Bayerische Staatsministerium für Landwirtschaft und Forsten folgende Verordnung:</w:t>
      </w:r>
    </w:p>
    <w:p>
      <w:r>
        <w:rPr>
          <w:color w:val="555555"/>
          <w:sz w:val="17"/>
        </w:rPr>
        <w:t xml:space="preserve">Zitiervorschlag: Eingangsformel BayMilchUmlV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https://recht.nulegal.eu/gesetze/BayMilchUmlV/eingangsformel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