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BayMilchUmlV (Bayern) — Festsetzung der Umlage</w:t>
      </w:r>
    </w:p>
    <w:p>
      <w:r>
        <w:rPr>
          <w:color w:val="555555"/>
          <w:sz w:val="18"/>
        </w:rPr>
        <w:t xml:space="preserve">Bayerische Milchumlageverordnung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Sofern eine Umlage erhoben wird, setzt die Landesanstalt die Höhe der zu zahlenden Umlageschuld für jeden Erhebungszeitraum auf der Grundlage der gemäß § 4 eingegangenen Meldungen oder der Schätzungen durch Verwaltungsakt fest.</w:t>
      </w:r>
    </w:p>
    <w:p>
      <w:r>
        <w:rPr>
          <w:color w:val="555555"/>
          <w:sz w:val="17"/>
        </w:rPr>
        <w:t xml:space="preserve">Zitiervorschlag: § 5 BayMilchUmlV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https://recht.nulegal.eu/gesetze/BayMilchUmlV/5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