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BayMilchUmlV (Bayern) — Meldung und Schätzung der Rohmilchmengen</w:t>
      </w:r>
    </w:p>
    <w:p>
      <w:r>
        <w:rPr>
          <w:color w:val="555555"/>
          <w:sz w:val="18"/>
        </w:rPr>
        <w:t xml:space="preserve">Bayerische Milchumlageverordnung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Sofern eine Umlage erhoben wird, melden die Betriebsinhaber der Landesanstalt auf den von ihr herausgegebenen Vordrucken jeweils bis zum 15. des dem Erhebungszeitraum folgenden Monats die von den Milcherzeugern angenommenen Rohmilchmengen.</w:t>
      </w:r>
    </w:p>
    <w:p>
      <w:r>
        <w:t xml:space="preserve">(2) Wird die Meldung nicht, nicht rechtzeitig oder unrichtig erstattet, so schätzt die Landesanstalt die im Erhebungszeitraum angefallenen Rohmilchmengen.</w:t>
      </w:r>
    </w:p>
    <w:p>
      <w:r>
        <w:rPr>
          <w:color w:val="555555"/>
          <w:sz w:val="17"/>
        </w:rPr>
        <w:t xml:space="preserve">Zitiervorschlag: § 4 BayMilchUmlV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https://recht.nulegal.eu/gesetze/BayMilchUmlV/4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