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BayMdVfGHEntschG (Bayern)</w:t>
      </w:r>
    </w:p>
    <w:p>
      <w:r>
        <w:rPr>
          <w:color w:val="555555"/>
          <w:sz w:val="18"/>
        </w:rPr>
        <w:t xml:space="preserve">Gesetz über die Entschädigung der Mitglieder des Verfassungsgerichtshofs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Gesetz tritt mit Wirkung vom 1. September 1947 in Kraft.</w:t>
      </w:r>
    </w:p>
    <w:p>
      <w:r>
        <w:t xml:space="preserve">(2) Die Bestimmungen über die Nebentätigkeit der Beamten treffen auf die Mitgliedschaft beim Verfassungsgerichtshof nicht zu.</w:t>
      </w:r>
    </w:p>
    <w:p>
      <w:r>
        <w:t xml:space="preserve">(3) Durchführungsbestimmungen erläßt das Staatsministerium der Finanzen und für Heimat.</w:t>
      </w:r>
    </w:p>
    <w:p>
      <w:r>
        <w:t xml:space="preserve">[Amtl. Anm.:] Betrifft die ursprüngliche Fassung vom 3. September 1949 (Nr. 22 des Gesetz- und Verordnungsblattes vom 26. September 1949, S. 229)</w:t>
      </w:r>
    </w:p>
    <w:p>
      <w:r>
        <w:rPr>
          <w:color w:val="555555"/>
          <w:sz w:val="17"/>
        </w:rPr>
        <w:t xml:space="preserve">Zitiervorschlag: Art 5 BayMdVfGHEntschG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https://recht.nulegal.eu/gesetze/BayMdVfGHEntschG/5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