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BayMdVfGHEntschG (Bayern)</w:t>
      </w:r>
    </w:p>
    <w:p>
      <w:r>
        <w:rPr>
          <w:color w:val="555555"/>
          <w:sz w:val="18"/>
        </w:rPr>
        <w:t xml:space="preserve">Gesetz über die Entschädigung der Mitglieder des Verfassungsgerichtshofs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Mitglieder des Verfassungsgerichtshofs, die nicht in München ihren Wohnsitz haben, erhalten Reisekostenvergütung nach den Sätzen, die für Beamte der Besoldungsgruppe A 16 gelten.</w:t>
      </w:r>
    </w:p>
    <w:p>
      <w:r>
        <w:rPr>
          <w:color w:val="555555"/>
          <w:sz w:val="17"/>
        </w:rPr>
        <w:t xml:space="preserve">Zitiervorschlag: Art 4 BayMdVfGHEntschG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https://recht.nulegal.eu/gesetze/BayMdVfGHEntschG/4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