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3 BayMdVfGHEntschG (Bayern)</w:t>
      </w:r>
    </w:p>
    <w:p>
      <w:r>
        <w:rPr>
          <w:color w:val="555555"/>
          <w:sz w:val="18"/>
        </w:rPr>
        <w:t xml:space="preserve">Gesetz über die Entschädigung der Mitglieder des Verfassungsgerichtshofs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Die Mitglieder des Verfassungsgerichtshofs erhalten für die Teilnahme an einer Sitzung je Sitzungstag ein Sitzungsgeld von 200 €.</w:t>
      </w:r>
    </w:p>
    <w:p>
      <w:r>
        <w:rPr>
          <w:color w:val="555555"/>
          <w:sz w:val="17"/>
        </w:rPr>
        <w:t xml:space="preserve">Zitiervorschlag: Art 3 BayMdVfGHEntschG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https://recht.nulegal.eu/gesetze/BayMdVfGHEntschG/3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