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BayMdVfGHEntschG (Bayern)</w:t>
      </w:r>
    </w:p>
    <w:p>
      <w:r>
        <w:rPr>
          <w:color w:val="555555"/>
          <w:sz w:val="18"/>
        </w:rPr>
        <w:t xml:space="preserve">Gesetz über die Entschädigung der Mitglieder des Verfassungsgerichtshofs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Berichterstatter erhält für jeden in einer Sitzung durch schriftlich begründete Sachentscheidung erledigten Fall einen Betrag von 750 €.</w:t>
      </w:r>
    </w:p>
    <w:p>
      <w:r>
        <w:t xml:space="preserve">(2) Der Mitberichterstatter erhält für jeden in einer Sitzung durch schriftlich begründete Sachentscheidung erledigten Fall einen Betrag von 350 €.</w:t>
      </w:r>
    </w:p>
    <w:p>
      <w:r>
        <w:t xml:space="preserve">(3) Die Vergütung fällt nur für die Fälle an, in denen eine schriftliche Sachverhaltsdarstellung oder ein schriftliches Gutachten angefertigt wurde.</w:t>
      </w:r>
    </w:p>
    <w:p>
      <w:r>
        <w:rPr>
          <w:color w:val="555555"/>
          <w:sz w:val="17"/>
        </w:rPr>
        <w:t xml:space="preserve">Zitiervorschlag: Art 2 BayMdVfGHEntschG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https://recht.nulegal.eu/gesetze/BayMdVfGHEntschG/2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