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BayMdVfGHEntschG (Bayern)</w:t>
      </w:r>
    </w:p>
    <w:p>
      <w:r>
        <w:rPr>
          <w:color w:val="555555"/>
          <w:sz w:val="18"/>
        </w:rPr>
        <w:t xml:space="preserve">Gesetz über die Entschädigung der Mitglieder des Verfassungsgerichtshofs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Der Präsident des Verfassungsgerichtshofs erhält eine laufende Vergütung von monatlich 1 500 €.</w:t>
      </w:r>
    </w:p>
    <w:p>
      <w:r>
        <w:t xml:space="preserve">(2) Im Fall einer Verhinderung von mehr als einem Monat steht die Vergütung seinem Stellvertreter zu.</w:t>
      </w:r>
    </w:p>
    <w:p>
      <w:r>
        <w:rPr>
          <w:color w:val="555555"/>
          <w:sz w:val="17"/>
        </w:rPr>
        <w:t xml:space="preserve">Zitiervorschlag: Art 1 BayMdVfGHEntschG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https://recht.nulegal.eu/gesetze/BayMdVfGHEntschG/1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