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BayMdStRegEntschV (Bayern)</w:t>
      </w:r>
    </w:p>
    <w:p>
      <w:r>
        <w:rPr>
          <w:color w:val="555555"/>
          <w:sz w:val="18"/>
        </w:rPr>
        <w:t xml:space="preserve">Verordnung über die Entschädigung der Mitglieder der Staatsregierung bei amtlicher Tätigkeit außerhalb des Sitzes der Staatsregierung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12 Abs. 2 Satz 2 des Gesetzes über die Rechtsverhältnisse der Mitglieder der Staatsregierung erläßt das Bayerische Staatsministerium der Finanzen folgende Verordnung:</w:t>
      </w:r>
    </w:p>
    <w:p>
      <w:r>
        <w:rPr>
          <w:color w:val="555555"/>
          <w:sz w:val="17"/>
        </w:rPr>
        <w:t xml:space="preserve">Zitiervorschlag: Eingangsformel BayMdStRegEntschV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https://recht.nulegal.eu/gesetze/BayMdStRegEntschV/eingangsformel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