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BayMdStRegEntschV (Bayern)</w:t>
      </w:r>
    </w:p>
    <w:p>
      <w:r>
        <w:rPr>
          <w:color w:val="555555"/>
          <w:sz w:val="18"/>
        </w:rPr>
        <w:t xml:space="preserve">Verordnung über die Entschädigung der Mitglieder der Staatsregierung bei amtlicher Tätigkeit außerhalb des Sitzes der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1969 in Kraft. (gegenstandslos)</w:t>
      </w:r>
    </w:p>
    <w:p>
      <w:r>
        <w:t xml:space="preserve">(2) (gegenstandslos)</w:t>
      </w:r>
    </w:p>
    <w:p>
      <w:r>
        <w:t xml:space="preserve">[Amtl. Anm.:] Betrifft die ursprüngliche Fassung vom 16. Dezember 1968 (GVBl. 1969 S. 8)</w:t>
      </w:r>
    </w:p>
    <w:p>
      <w:r>
        <w:rPr>
          <w:color w:val="555555"/>
          <w:sz w:val="17"/>
        </w:rPr>
        <w:t xml:space="preserve">Zitiervorschlag: § 3 BayMdStRegEntschV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https://recht.nulegal.eu/gesetze/BayMdStRegEntschV/3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