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Eingangsformel BayMdLVerhaltR (Bayern)</w:t>
      </w:r>
    </w:p>
    <w:p>
      <w:r>
        <w:rPr>
          <w:color w:val="555555"/>
          <w:sz w:val="18"/>
        </w:rPr>
        <w:t xml:space="preserve">Verhaltensregeln für die Mitglieder des Bayerischen Landtags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Auf Grund des Art. 4a des Bayerischen Abgeordnetengesetzes gibt sich der Bayerische Landtag folgende Verhaltensregeln:</w:t>
      </w:r>
    </w:p>
    <w:p>
      <w:r>
        <w:rPr>
          <w:color w:val="555555"/>
          <w:sz w:val="17"/>
        </w:rPr>
        <w:t xml:space="preserve">Zitiervorschlag: Eingangsformel BayMdLVerhaltR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https://recht.nulegal.eu/gesetze/BayMdLVerhaltR/eingangsformel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