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§ 5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5</w:t>
      </w:r>
    </w:p>
    <w:p>
      <w:r>
        <w:t xml:space="preserve">(1) Das in § 4 Nr. 5 bezeichnete Kapitalvermögen ist nach den für die Anlage von Kapitalien öffentlicher Stiftungen jeweilig geltenden allgemeinen Vorschriften verzinslich anzulegen.</w:t>
      </w:r>
    </w:p>
    <w:p>
      <w:r>
        <w:t xml:space="preserve">(2) Der bei der Heimzahlung und Wiederanlage von Kapitalien durch Kursdifferenzen etwa gemachte Gewinn wächst dem Kapitalvermögen zu.</w:t>
      </w:r>
    </w:p>
    <w:p>
      <w:r>
        <w:t xml:space="preserve">(3) Die Kapitalien der Stiftung dürfen zur Deckung der Bedürfnisse des Maximilianeums weder ganz noch teilweise verwendet werden.</w:t>
      </w:r>
    </w:p>
    <w:p>
      <w:r>
        <w:t xml:space="preserve">(4) Etwaige, durch Zufall oder andere Verhältnisse entstandene Abgänge sind aus den Zinsen des Kapitalvermögens zu ergänzen.</w:t>
      </w:r>
    </w:p>
    <w:p>
      <w:r>
        <w:rPr>
          <w:color w:val="555555"/>
          <w:sz w:val="17"/>
        </w:rPr>
        <w:t xml:space="preserve">Zitiervorschlag: Anlage § 5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§ 5 BayMaximGrUrk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