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4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</w:t>
      </w:r>
    </w:p>
    <w:p>
      <w:r>
        <w:t xml:space="preserve">Das Stiftungsvermögen besteht aus:</w:t>
      </w:r>
    </w:p>
    <w:p>
      <w:r>
        <w:t xml:space="preserve">1. den in der Beilage A verzeichneten Grundflächen nebst darauf befindlichen Baulichkeiten und sämtlichem beweglichen und unbeweglichen Zubehör derselben,</w:t>
      </w:r>
    </w:p>
    <w:p>
      <w:r>
        <w:t xml:space="preserve">2. dem jeweiligen Bestand an Mobiliareinrichtung in dem Stiftungsgebäude und an Attributen für die stiftungsmäßigen Bildungszwecke,</w:t>
      </w:r>
    </w:p>
    <w:p>
      <w:r>
        <w:t xml:space="preserve">3. einer Galerie von 30 Ölgemälden, wie solche in Beilage B verzeichnet sind,</w:t>
      </w:r>
    </w:p>
    <w:p>
      <w:r>
        <w:t xml:space="preserve">4. einer Sammlung von 24 marmornen Büsten nach dem in Beilage C niedergelegten Verzeichnis,</w:t>
      </w:r>
    </w:p>
    <w:p>
      <w:r>
        <w:t xml:space="preserve">5. einem Kapitalbetrag von 800000 fl., welcher aus dem Nachlaß Seiner Majestät des höchstseligen Königs Maximilian II. verabfolgt wurde.</w:t>
      </w:r>
    </w:p>
    <w:p>
      <w:r>
        <w:rPr>
          <w:color w:val="555555"/>
          <w:sz w:val="17"/>
        </w:rPr>
        <w:t xml:space="preserve">Zitiervorschlag: Anlage § 4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4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