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§ 34 BayMaximGrUrk (Bayern)</w:t>
      </w:r>
    </w:p>
    <w:p>
      <w:r>
        <w:rPr>
          <w:color w:val="555555"/>
          <w:sz w:val="18"/>
        </w:rPr>
        <w:t xml:space="preserve">Urkunde über die Gründung des k. Maximilianeums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34</w:t>
      </w:r>
    </w:p>
    <w:p>
      <w:r>
        <w:t xml:space="preserve">Die Beschlüsse des Kuratoriums erfolgen nach Stimmenmehrheit. Bei Gleichheit der Stimmen gibt die Stimme des Vorsitzenden den Ausschlag.</w:t>
      </w:r>
    </w:p>
    <w:p>
      <w:r>
        <w:rPr>
          <w:color w:val="555555"/>
          <w:sz w:val="17"/>
        </w:rPr>
        <w:t xml:space="preserve">Zitiervorschlag: Anlage § 34 BayMaximGrUrk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https://recht.nulegal.eu/gesetze/BayMaximGrUrk/anlage-§-34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§ 34 BayMaximGrUrk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