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BayMRVG (Bayern)</w:t>
      </w:r>
    </w:p>
    <w:p>
      <w:r>
        <w:rPr>
          <w:color w:val="555555"/>
          <w:sz w:val="18"/>
        </w:rPr>
        <w:t xml:space="preserve">Bayerisches Maßregelvollzugsgesetz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17. Juli 2015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BayMRVG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https://recht.nulegal.eu/gesetze/BayMRVG/schlussformel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