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41 BayMRVG (Bayern) — Geltung sonstiger Vorschriften</w:t>
      </w:r>
    </w:p>
    <w:p>
      <w:r>
        <w:rPr>
          <w:color w:val="555555"/>
          <w:sz w:val="18"/>
        </w:rPr>
        <w:t xml:space="preserve">Bayerisches Maßregelvollzugsgesetz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 Berücksichtigung des Ziels und der Grundsätze der einstweiligen Unterbringung gelten entsprechend:</w:t>
      </w:r>
    </w:p>
    <w:p>
      <w:r>
        <w:t xml:space="preserve">1. Art. 4, 8 und 9, 10 Abs. 2 und 4, Art. 11 bis 15, 24 bis 28, 29 Abs. 1 und 2, Art. 31, 32, 34a und 36,</w:t>
      </w:r>
    </w:p>
    <w:p>
      <w:r>
        <w:t xml:space="preserve">2. Art. 3 mit der Maßgabe, dass das Verteidigungsinteresse angemessen zu berücksichtigen ist,</w:t>
      </w:r>
    </w:p>
    <w:p>
      <w:r>
        <w:t xml:space="preserve">3. Art. 6 mit der Maßgabe, dass Art. 6 Abs. 3 Nr. 1 keine Anwendung findet,</w:t>
      </w:r>
    </w:p>
    <w:p>
      <w:r>
        <w:t xml:space="preserve">4. Art. 10 Abs. 1 mit der Maßgabe, dass der einstweilig untergebrachten Person eine Arbeit oder eine Beschäftigung anzubieten ist,</w:t>
      </w:r>
    </w:p>
    <w:p>
      <w:r>
        <w:t xml:space="preserve">5. Art. 22 mit den Maßgaben, dass Disziplinarmaßnahmen auch bei schuldhaften Verstößen gegen verfahrenssichernde Anordnungen nach § 126a Abs. 2 der Strafprozeßordnung (StPO) in Verbindung mit § 119 StPO zulässig sind und dass die Anordnung und der Vollzug einer Disziplinarmaßnahme die Verteidigung und die Verhandlungsfähigkeit nicht beeinträchtigen dürfen,</w:t>
      </w:r>
    </w:p>
    <w:p>
      <w:r>
        <w:t xml:space="preserve">6. Art. 34 mit folgenden Maßgaben:</w:t>
      </w:r>
    </w:p>
    <w:p>
      <w:r>
        <w:t xml:space="preserve">a) Die unter den Voraussetzungen des Art. 197 Abs. 5 Satz 1 BayStVollzG zulässige Mitteilung besteht in der Angabe, ob sich eine Person in der Maßregelvollzugseinrichtung im Vollzug der einstweiligen Unterbringung befindet und wie die voraussichtliche Entlassungsadresse lautet. Art. 197 Abs. 5 Satz 2 BayStVollzG findet keine Anwendung.</w:t>
      </w:r>
    </w:p>
    <w:p>
      <w:r>
        <w:t xml:space="preserve">b) Bei einer nicht nur vorläufigen Einstellung des Verfahrens, einer unanfechtbaren Ablehnung der Eröffnung des Hauptverfahrens, einer rechtskräftigen Ablehnung eines Antrags gemäß § 413 StPO oder einem rechtskräftigen Freispruch sind auf Antrag der einstweilig untergebrachten Personen die Stellen, die eine Mitteilung im Sinn von Buchst. a erhalten haben, über den Verfahrensausgang in Kenntnis zu setzen. Die einstweilig untergebrachten Personen sind auf ihr Antragsrecht bei der Anhörung oder der nachträglichen Unterrichtung hinzuweisen.</w:t>
      </w:r>
    </w:p>
    <w:p>
      <w:r>
        <w:t xml:space="preserve">c) Vor einer Auskunft oder Gewährung von Akteneinsicht nach Art. 204 Abs. 1 BayStVollzG ist dem Gericht und der Staatsanwaltschaft Gelegenheit zur Stellungnahme zu geben.</w:t>
      </w:r>
    </w:p>
    <w:p>
      <w:r>
        <w:rPr>
          <w:color w:val="555555"/>
          <w:sz w:val="17"/>
        </w:rPr>
        <w:t xml:space="preserve">Zitiervorschlag: Art 41 BayMRVG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https://recht.nulegal.eu/gesetze/BayMRVG/41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