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BayMRVG (Bayern) — Aufnahme</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ist über ihre Rechte und Pflichten während der Unterbringung unverzüglich zu unterrichten. Eine schriftliche Unterrichtung wird sobald als möglich nachgeholt; die untergebrachte Person hat den Erhalt schriftlich zu bestätigen. Hat die untergebrachte Person einen Vertreter, so ist ihm Gelegenheit zu geben, an der Unterrichtung teilzunehmen. Andere untergebrachte Personen dürfen nicht anwesend sein.</w:t>
      </w:r>
    </w:p>
    <w:p>
      <w:r>
        <w:t xml:space="preserve">(2) Die untergebrachte Person ist unverzüglich ärztlich zu untersuchen.</w:t>
      </w:r>
    </w:p>
    <w:p>
      <w:r>
        <w:rPr>
          <w:color w:val="555555"/>
          <w:sz w:val="17"/>
        </w:rPr>
        <w:t xml:space="preserve">Zitiervorschlag: Art 4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