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BayMRVG (Bayern) — Ausführung, Vorführung, Ausantwortung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21 gilt entsprechend.</w:t>
      </w:r>
    </w:p>
    <w:p>
      <w:r>
        <w:t xml:space="preserve">(2) Einstweilig untergebrachte Personen dürfen zur Durchführung von Ermittlungsmaßnahmen befristet dem Gewahrsam einer Polizei-, Zoll- oder Finanzbehörde überlassen werden (Ausantwortung).</w:t>
      </w:r>
    </w:p>
    <w:p>
      <w:r>
        <w:t xml:space="preserve">(3) Vor Durchführung einer Ausführung oder einer Ausantwortung ist dem Gericht und der Staatsanwaltschaft Gelegenheit zur Stellungnahme zu geben. Hiervon kann bei Gefahr im Verzug abgesehen werden; in diesem Fall sind das Gericht und die Staatsanwaltschaft unverzüglich zu unterrichten.</w:t>
      </w:r>
    </w:p>
    <w:p>
      <w:r>
        <w:rPr>
          <w:color w:val="555555"/>
          <w:sz w:val="17"/>
        </w:rPr>
        <w:t xml:space="preserve">Zitiervorschlag: Art 39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