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38 BayMRVG (Bayern) — Trennung des Vollzugs</w:t>
      </w:r>
    </w:p>
    <w:p>
      <w:r>
        <w:rPr>
          <w:color w:val="555555"/>
          <w:sz w:val="18"/>
        </w:rPr>
        <w:t xml:space="preserve">Bayerisches Maßregelvollzugsgesetz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gemeinsame Zimmerbelegung mit anderen untergebrachten Personen ist nur mit Zustimmung der einstweilig untergebrachten Person oder aus wichtigem Grund zulässig.</w:t>
      </w:r>
    </w:p>
    <w:p>
      <w:r>
        <w:rPr>
          <w:color w:val="555555"/>
          <w:sz w:val="17"/>
        </w:rPr>
        <w:t xml:space="preserve">Zitiervorschlag: Art 38 BayMRVG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https://recht.nulegal.eu/gesetze/BayMRVG/38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