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36 BayMRVG (Bayern) — Freiwilliger Verbleib nach Beendigung der Unterbringung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 fürsorgerischen Gründen und auf Kosten der Maßregelvollzugseinrichtung kann der untergebrachten Person auf schriftlichen unwiderruflichen Antrag der freiwillige Verbleib in der Maßregelvollzugseinrichtung</w:t>
      </w:r>
    </w:p>
    <w:p>
      <w:r>
        <w:t xml:space="preserve">1. bis zum Vormittag des zweiten auf den Eingang der Entlassungsanordnung folgenden Werktags oder</w:t>
      </w:r>
    </w:p>
    <w:p>
      <w:r>
        <w:t xml:space="preserve">2. bis zum Vormittag des auf den Ablauf der Unterbringungsfrist folgenden Werktags</w:t>
      </w:r>
    </w:p>
    <w:p>
      <w:r>
        <w:t xml:space="preserve">gestattet werden. Die untergebrachte Person ist auf die Möglichkeit der Antragstellung hinzuweisen.</w:t>
      </w:r>
    </w:p>
    <w:p>
      <w:r>
        <w:rPr>
          <w:color w:val="555555"/>
          <w:sz w:val="17"/>
        </w:rPr>
        <w:t xml:space="preserve">Zitiervorschlag: Art 36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