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BayMRVG (Bayern) — Aktenführung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 jeder untergebrachten Person ist eine Patientenakte entsprechend § 630f BGB zu führen.</w:t>
      </w:r>
    </w:p>
    <w:p>
      <w:r>
        <w:t xml:space="preserve">(2) Erkennungsdienstliche Unterlagen (Art. 28) sind getrennt von der Patientenakte aufzubewahren. Sie können auch elektronisch geführt werden.</w:t>
      </w:r>
    </w:p>
    <w:p>
      <w:r>
        <w:rPr>
          <w:color w:val="555555"/>
          <w:sz w:val="17"/>
        </w:rPr>
        <w:t xml:space="preserve">Zitiervorschlag: Art 32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