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BayMRVG (Bayern) — Stellung der untergebrachten Person</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untergebrachten Person ist Gelegenheit zu geben, an der Gestaltung ihrer Behandlung und der weiteren Maßnahmen, die der Verwirklichung der in Art. 2 genannten Ziele und Grundsätze dienen, mitzuwirken. Ihre Bereitschaft zur Mitwirkung an der Gestaltung ist zu wecken und zu fördern.</w:t>
      </w:r>
    </w:p>
    <w:p>
      <w:r>
        <w:t xml:space="preserve">(2) Die untergebrachte Person unterliegt den in diesem Gesetz vorgesehenen Beschränkungen ihrer Freiheit. Soweit dieses Gesetz keine besondere Regelung enthält, dürfen der untergebrachten Person Beschränkungen nur auferlegt werden, die zur Aufrechterhaltung der Sicherheit oder zur Abwendung einer schwerwiegenden Störung des geordneten Zusammenlebens in der Maßregelvollzugseinrichtung unerlässlich sind.</w:t>
      </w:r>
    </w:p>
    <w:p>
      <w:r>
        <w:t xml:space="preserve">(3) Von mehreren möglichen und geeigneten Maßnahmen ist diejenige zu wählen, die die untergebrachte Person voraussichtlich am wenigsten beeinträchtigt. Eine Maßnahme darf nicht zu einem Nachteil führen, der zu dem angestrebten Erfolg erkennbar außer Verhältnis steht. Sie ist nur solange zulässig, bis ihr Zweck erreicht ist oder nicht mehr erreicht werden kann.</w:t>
      </w:r>
    </w:p>
    <w:p>
      <w:r>
        <w:t xml:space="preserve">(4) Im Rahmen der Unterbringung getroffene Entscheidungen und Anordnungen sind der untergebrachten Person unverzüglich bekannt zu geben und, soweit es ihr Gesundheitszustand zulässt, zu erläutern. Hat die untergebrachte Person einen Vertreter, so erhält dieser eine Ablichtung von schriftlich gegenüber der untergebrachten Person erlassenen Entscheidungen und Anordnungen.</w:t>
      </w:r>
    </w:p>
    <w:p>
      <w:r>
        <w:rPr>
          <w:color w:val="555555"/>
          <w:sz w:val="17"/>
        </w:rPr>
        <w:t xml:space="preserve">Zitiervorschlag: Art 3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