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BayMRVG (Bayern) — Motivationsgeld, Zuwendungen, Barbetrag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erhält für Leistungen im Rahmen der Arbeitstherapie ein angemessenes Motivationsgeld.</w:t>
      </w:r>
    </w:p>
    <w:p>
      <w:r>
        <w:t xml:space="preserve">(2) Übt die untergebrachte Person aus therapeutischen Gründen eine sonstige Beschäftigung aus oder nimmt sie an einer heilpädagogischen Förderung, an Maßnahmen der Berufsausbildung, der beruflichen Fortbildung oder Umschulung teil, so kann ihr eine Zuwendung gewährt werden.</w:t>
      </w:r>
    </w:p>
    <w:p>
      <w:r>
        <w:t xml:space="preserve">(3) Die untergebrachte Person erhält einen Barbetrag zur persönlichen Verfügung, falls sie mittellos ist. Bei Bezug von Motivationsgeld oder einer Zuwendung kann eine Anrechnung erfolgen. Die Höhe des Barbetrags und eine Anrechnung werden durch die Fachaufsichtsbehörde gesondert festgesetzt.</w:t>
      </w:r>
    </w:p>
    <w:p>
      <w:r>
        <w:rPr>
          <w:color w:val="555555"/>
          <w:sz w:val="17"/>
        </w:rPr>
        <w:t xml:space="preserve">Zitiervorschlag: Art 29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