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BayMRVG (Bayern) — Beteiligung der Vollstreckungsbehörde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Bevor unbegleiteter Ausgang, unbegleitete Außenbeschäftigung, eine Beurlaubung, eine Beurlaubung zum Zwecke des Probewohnens oder bei Personen mit besonderem Sicherungsbedürfnis unbegleiteter Geländegang gewährt wird, ist die Vollstreckungsbehörde zu hören.</w:t>
      </w:r>
    </w:p>
    <w:p>
      <w:r>
        <w:t xml:space="preserve">(2) Werden Lockerungen des Vollzugs gewährt oder die Gewährung einer Lockerung länger als ein Monat ausgesetzt, ist die Vollstreckungsbehörde zu informieren.</w:t>
      </w:r>
    </w:p>
    <w:p>
      <w:r>
        <w:rPr>
          <w:color w:val="555555"/>
          <w:sz w:val="17"/>
        </w:rPr>
        <w:t xml:space="preserve">Zitiervorschlag: Art 19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