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BayMRVG (Bayern) — Arbeit, Beschäftigung, Bildung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Maßregelvollzugseinrichtung soll der untergebrachten Person eine Arbeit oder Beschäftigung zuweisen und sie dazu anhalten, in Abhängigkeit von deren Gesundheitszustand an Arbeits- und Beschäftigungsangeboten teilzunehmen. Dabei sind deren Fähigkeiten, Fertigkeiten und Neigungen zu berücksichtigen.</w:t>
      </w:r>
    </w:p>
    <w:p>
      <w:r>
        <w:t xml:space="preserve">(2) Geeigneten untergebrachten Personen kann Gelegenheit zur schulischen Bildung, Berufsausbildung, beruflichen Weiterbildung oder Teilnahme an anderen aus- oder weiterbildenden Maßnahmen gegeben werden.</w:t>
      </w:r>
    </w:p>
    <w:p>
      <w:r>
        <w:t xml:space="preserve">(3) Maßnahmen nach Abs. 1 und 2 können bei entsprechender Lockerung des Vollzugs (Art. 16 und 18) in Betrieben geeigneter privater Unternehmen oder sonstigen Einrichtungen außerhalb der Maßregelvollzugseinrichtung durchgeführt werden.</w:t>
      </w:r>
    </w:p>
    <w:p>
      <w:r>
        <w:t xml:space="preserve">(4) Die Maßregelvollzugseinrichtung soll die untergebrachte Person dazu anhalten, freiwillig an Deutsch- bzw. Integrationsunterricht entsprechend Art. 40 Abs. 2 und 3 BayStVollzG teilzunehmen, wenn dies den Zwecken des Maßregelvollzugs nicht widerspricht und ihr mit vertretbarem Aufwand ermöglicht werden kann.</w:t>
      </w:r>
    </w:p>
    <w:p>
      <w:r>
        <w:rPr>
          <w:color w:val="555555"/>
          <w:sz w:val="17"/>
        </w:rPr>
        <w:t xml:space="preserve">Zitiervorschlag: Art 10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