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BayMG (Bayern) — Werbung, Teleshopping</w:t>
      </w:r>
    </w:p>
    <w:p>
      <w:r>
        <w:rPr>
          <w:color w:val="555555"/>
          <w:sz w:val="18"/>
        </w:rPr>
        <w:t xml:space="preserve">Bayerisches Mediengesetz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Werbung und Teleshopping gelten § 1 Abs. 6 und §§ 8, 9 MStV und § 6 des Jugendmedienschutz-Staatsvertrags. Die §§ 70 und 71 MStV gelten entsprechend.</w:t>
      </w:r>
    </w:p>
    <w:p>
      <w:r>
        <w:t xml:space="preserve">(2) Für lokale und regionale Fernsehprogramme gilt Abs. 1 mit der Maßgabe, dass § 8 Abs. 4 Satz 2, § 9 Abs. 3 und § 70 Abs. 1 MStV keine Anwendung finden. Einzelheiten, insbesondere zur Anwendung von Satz 1 bei Fensterprogrammen nach Art. 3 Abs. 3, regelt die Landeszentrale durch Satzung.</w:t>
      </w:r>
    </w:p>
    <w:p>
      <w:r>
        <w:rPr>
          <w:color w:val="555555"/>
          <w:sz w:val="17"/>
        </w:rPr>
        <w:t xml:space="preserve">Zitiervorschlag: Art 8 BayMG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