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BayMG (Bayern) — Inkrafttreten, Außerkrafttreten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Dezember 1992 in Kraft.</w:t>
      </w:r>
    </w:p>
    <w:p>
      <w:r>
        <w:t xml:space="preserve">(2) Außer Kraft treten:</w:t>
      </w:r>
    </w:p>
    <w:p>
      <w:r>
        <w:t xml:space="preserve">1. Art. 23 mit Ablauf des 31. Dezember 2028 und</w:t>
      </w:r>
    </w:p>
    <w:p>
      <w:r>
        <w:t xml:space="preserve">2. Art. 10 Abs. 7 Satz 2 mit Ablauf des 30. April 2032.</w:t>
      </w:r>
    </w:p>
    <w:p>
      <w:r>
        <w:t xml:space="preserve">[Amtl. Anm.:] Diese Vorschrift betrifft das In-Kraft-Treten des Gesetzes in der ursprünglichen Fassung vom 24. November 1992 (GVBl S. 584).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39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