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BayMG (Bayern) — Strafbestimmung, Ordnungswidrigkeiten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Anbieter bundesweit verbreiteter Programme findet § 115 MStV Anwendung. Mit Geldbuße bis zu fünfhunderttausend Euro kann belegt werden,</w:t>
      </w:r>
    </w:p>
    <w:p>
      <w:r>
        <w:t xml:space="preserve">1. wer als Anbieter landesweit, regional oder lokal verbreiteter Programme vorsätzlich oder fahrlässig einen der in § 115 Abs. 1 Satz 1 Nr. 1 bis 12, 14 bis 16 und 23 MStV in Verbindung mit Art. 7, 8, 20 und 29 bezeichneten Verstöße begeht,</w:t>
      </w:r>
    </w:p>
    <w:p>
      <w:r>
        <w:t xml:space="preserve">2. wer in einem landesweit, regional oder lokal verbreiteten Programm einen in § 115 Abs. 1 Satz 2 Nr. 10 MStV in Verbindung mit Art. 9 bezeichneten Verstoß begeht und</w:t>
      </w:r>
    </w:p>
    <w:p>
      <w:r>
        <w:t xml:space="preserve">3. wer als Anbieter landesweit verbreiteter Fernsehprogramme vorsätzlich oder fahrlässig einen der in § 115 Abs. 1 Satz 1 Nr. 13 und 22 MStV bezeichneten Verstöße begeht.</w:t>
      </w:r>
    </w:p>
    <w:p>
      <w:r>
        <w:t xml:space="preserve">Die §§ 23 und 24 des Jugendmedienschutz-Staatsvertrags finden Anwendung.</w:t>
      </w:r>
    </w:p>
    <w:p>
      <w:r>
        <w:t xml:space="preserve">(2) Mit Geldbuße bis zu fünfzigtausend Euro kann belegt werden, wer vorsätzlich oder fahrlässig</w:t>
      </w:r>
    </w:p>
    <w:p>
      <w:r>
        <w:t xml:space="preserve">1. ohne nach Art. 25 Abs. 1 erforderliche Genehmigung der Landeszentrale Rundfunkprogramme veranstaltet oder verbreitet,</w:t>
      </w:r>
    </w:p>
    <w:p>
      <w:r>
        <w:t xml:space="preserve">2. entgegen Art. 26 oder entgegen Art. 29 Abs. 1 Satz 7 untersagte Rundfunkprogramme veranstaltet oder verbreitet,</w:t>
      </w:r>
    </w:p>
    <w:p>
      <w:r>
        <w:t xml:space="preserve">3. entgegen Art. 25 Abs. 5, Art. 26 Abs. 1 Satz 2 oder Art. 29 Abs. 1 Satz 2 und 3 oder entgegen Art. 29 Abs. 1 Satz 4 in Verbindung mit Art. 29 Abs. 1 Satz 2 und 3 Anzeigen oder Mitteilungen nicht, nicht richtig oder nicht vollständig macht,</w:t>
      </w:r>
    </w:p>
    <w:p>
      <w:r>
        <w:t xml:space="preserve">4. entgegen Art. 29 Abs. 2 seine Beiträge nicht vollständig in Ton und Bild aufzeichnet oder Aufzeichnungen entgegen Art. 29 Abs. 3 löscht,</w:t>
      </w:r>
    </w:p>
    <w:p>
      <w:r>
        <w:t xml:space="preserve">5. entgegen Art. 33 Abs. 2 den Betrieb einer Kabelanlage nicht oder nicht rechtzeitig der Landeszentrale anzeigt oder</w:t>
      </w:r>
    </w:p>
    <w:p>
      <w:r>
        <w:t xml:space="preserve">6. entgegen Art. 35 Abs. 3 die Weiterverbreitung nicht oder nicht rechtzeitig der Landeszentrale anzeigt.</w:t>
      </w:r>
    </w:p>
    <w:p>
      <w:r>
        <w:t xml:space="preserve">(3) Geldbußen, die nach den Abs. 1 und 2 festgesetzt werden, stehen der Landeszentrale für ihre Aufgaben nach Art. 11 Abs. 1 Satz 2 Nr. 4 und 5 und Abs. 2 Nr. 1 und 4 zu.</w:t>
      </w:r>
    </w:p>
    <w:p>
      <w:r>
        <w:rPr>
          <w:color w:val="555555"/>
          <w:sz w:val="17"/>
        </w:rPr>
        <w:t xml:space="preserve">Zitiervorschlag: Art 36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