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BayMG (Bayern) — Betrieb von Kabelanlagen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Betreiber einer Kabelanlage ist, wer berechtigt ist, über die Kabelanlage, insbesondere über die Signalaufbereitungsanlage, zu verfügen.</w:t>
      </w:r>
    </w:p>
    <w:p>
      <w:r>
        <w:t xml:space="preserve">(2) Der Betreiber einer Kabelanlage, die der Verbreitung oder Weiterverbreitung von Rundfunk oder Telemedien in 10 oder mehr Wohneinheiten dient, hat der Landeszentrale den Betrieb einen Monat vor Betriebsbeginn anzuzeigen.</w:t>
      </w:r>
    </w:p>
    <w:p>
      <w:r>
        <w:rPr>
          <w:color w:val="555555"/>
          <w:sz w:val="17"/>
        </w:rPr>
        <w:t xml:space="preserve">Zitiervorschlag: Art 33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