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32 BayMG (Bayern) — Zuordnung neuer Übertragungskapazitäten</w:t>
      </w:r>
    </w:p>
    <w:p>
      <w:r>
        <w:rPr>
          <w:color w:val="555555"/>
          <w:sz w:val="18"/>
        </w:rPr>
        <w:t xml:space="preserve">Bayerisches Mediengesetz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Über die Zuordnung von dem Freistaat Bayern zustehenden neuen Übertragungskapazitäten, deren Zuordnung bei Inkrafttreten dieses Gesetzes nicht geregelt war, einigt sich die Landeszentrale mit dem Bayerischen Rundfunk und dem ZDF sowie dem Deutschlandradio.</w:t>
      </w:r>
    </w:p>
    <w:p>
      <w:r>
        <w:t xml:space="preserve">(2) Kommt eine Einigung nach Abs. 1 Satz 1 nicht zustande, entscheidet die Staatsregierung über die Zuordnung. Maßgebende Gesichtspunkte für diese Entscheidung sind</w:t>
      </w:r>
    </w:p>
    <w:p>
      <w:r>
        <w:t xml:space="preserve">1. die Sicherung der Grundversorgung durch die Fernsehhauptprogramme der ARD und des ZDF sowie durch das Fernsehprogramm und durch Hörfunkprogramme des Bayerischen Rundfunks,</w:t>
      </w:r>
    </w:p>
    <w:p>
      <w:r>
        <w:t xml:space="preserve">2. die flächendeckende Versorgung im jeweiligen Versorgungsgebiet mit den landesweiten und lokalen oder regionalen Rundfunkprogrammen unter Trägerschaft der Landeszentrale,</w:t>
      </w:r>
    </w:p>
    <w:p>
      <w:r>
        <w:t xml:space="preserve">3. die Vielfalt des Programmangebots, insbesondere die Förderung von Meinungsvielfalt und publizistischem Wettbewerb sowie die Berücksichtigung der Interessen von Minderheiten, deren Informationsmöglichkeiten auf Grund von Behinderungen oder sprachlichen Umständen eingeschränkt sind, durch das jeweilige Programm.</w:t>
      </w:r>
    </w:p>
    <w:p>
      <w:r>
        <w:rPr>
          <w:color w:val="555555"/>
          <w:sz w:val="17"/>
        </w:rPr>
        <w:t xml:space="preserve">Zitiervorschlag: Art 32 BayMG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https://recht.nulegal.eu/gesetze/BayMG/32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