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BayMG (Bayern) — Anbieter</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diesem Gesetz können Rundfunkprogramme und -sendungen anbieten</w:t>
      </w:r>
    </w:p>
    <w:p>
      <w:r>
        <w:t xml:space="preserve">1. natürliche Personen,</w:t>
      </w:r>
    </w:p>
    <w:p>
      <w:r>
        <w:t xml:space="preserve">2. auf Dauer angelegte nicht rechtsfähige Personenvereinigungen des Privatrechts,</w:t>
      </w:r>
    </w:p>
    <w:p>
      <w:r>
        <w:t xml:space="preserve">3. juristische Personen des Privatrechts,</w:t>
      </w:r>
    </w:p>
    <w:p>
      <w:r>
        <w:t xml:space="preserve">4. juristische Personen des öffentlichen Rechts, soweit sie nicht einer Fachaufsicht oder sonstigem staatlichen oder kommunalen Einfluss unterliegen oder wenn sie bei der Wahrnehmung ihrer Aufgaben im privatwirtschaftlichen Wettbewerb stehen,</w:t>
      </w:r>
    </w:p>
    <w:p>
      <w:r>
        <w:t xml:space="preserve">5. öffentlich-rechtliche Religions- oder Weltanschauungsgemeinschaften.</w:t>
      </w:r>
    </w:p>
    <w:p>
      <w:r>
        <w:t xml:space="preserve">(2) Staatliche Stellen können nur Aufführungen ihrer Theater und Orchester anbieten. Kommunale Gebietskörperschaften und ihre Zusammenschlüsse sowie sonstige juristische Personen des öffentlichen Rechts können darüber hinaus auch andere kulturelle Veranstaltungen ihrer Einrichtungen anbieten.</w:t>
      </w:r>
    </w:p>
    <w:p>
      <w:r>
        <w:t xml:space="preserve">(3) Politische Parteien und Wählergruppen sowie Unternehmen und Vereinigungen, an denen politische Parteien und Wählergruppen unmittelbar oder mehr als nur geringfügig mittelbar beteiligt sind, dürfen keine Rundfunkprogramme und -sendungen anbieten und keinen bestimmenden Einfluss auf sie ausüben. Ein bestimmender Einfluss ist insbesondere anzunehmen, wenn die politische Partei oder Wählergruppe unmittelbar oder mittelbar aufgrund vertraglicher Vereinbarungen, satzungsrechtlicher Bestimmungen oder in sonstiger Weise Einfluss auf Programmgestaltung oder Programminhalte nehmen kann. Die Sätze 1 und 2 gelten für ausländische Beteiligte entsprechend. Die Verpflichtungen aus Art. 29 Abs. 1 Satz 2 bis 9 gelten insofern auch für Anteilseigner und Angehörige der Anteilseigner. Die Landeszentrale veröffentlicht alle wirtschaftlichen, persönlichen und sonstigen Verflechtungen zwischen Rundfunkanbietern und Parteien oder Rundfunkanbietern und Wählergruppen.</w:t>
      </w:r>
    </w:p>
    <w:p>
      <w:r>
        <w:rPr>
          <w:color w:val="555555"/>
          <w:sz w:val="17"/>
        </w:rPr>
        <w:t xml:space="preserve">Zitiervorschlag: Art 24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