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BayMG (Bayern) — Öffentlich-rechtliche Trägerschaft, Organisation</w:t>
      </w:r>
    </w:p>
    <w:p>
      <w:r>
        <w:rPr>
          <w:color w:val="555555"/>
          <w:sz w:val="18"/>
        </w:rPr>
        <w:t xml:space="preserve">Bayerisches Mediengesetz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Rundfunk im Rahmen dieses Gesetzes wird in öffentlicher Verantwortung und in öffentlich-rechtlicher Trägerschaft der Bayerischen Landeszentrale für neue Medien (Landeszentrale) betrieben.</w:t>
      </w:r>
    </w:p>
    <w:p>
      <w:r>
        <w:t xml:space="preserve">(2) Im Rahmen dieses Gesetzes organisiert die Landeszentrale Rundfunkprogramme aus von Rundfunkanbietern (Anbieter) gestalteten Beiträgen. Dabei ist auf eine qualitätvolle Programmgestaltung hinzuwirken und die Unabhängigkeit der Redaktionen sicherzustellen.</w:t>
      </w:r>
    </w:p>
    <w:p>
      <w:r>
        <w:t xml:space="preserve">(3) Bei der Organisation lokaler, regionaler und landesweiter Rundfunkangebote achtet die Landeszentrale auf Programmvielfalt und auf tragfähige wirtschaftliche Rahmenbedingungen.</w:t>
      </w:r>
    </w:p>
    <w:p>
      <w:r>
        <w:t xml:space="preserve">(4) Für Anbietergesellschaften und -gemeinschaften gelten die Vorschriften dieses Gesetzes über Anbieter entsprechend.</w:t>
      </w:r>
    </w:p>
    <w:p>
      <w:r>
        <w:rPr>
          <w:color w:val="555555"/>
          <w:sz w:val="17"/>
        </w:rPr>
        <w:t xml:space="preserve">Zitiervorschlag: Art 2 BayMG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