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BayLplG (Bayern) — Verbandssatzung</w:t>
      </w:r>
    </w:p>
    <w:p>
      <w:r>
        <w:rPr>
          <w:color w:val="555555"/>
          <w:sz w:val="18"/>
        </w:rPr>
        <w:t xml:space="preserve">Bayerisches Landesplanungsgesetz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Verbandssatzung muss die angemessene Vertretung unterschiedlicher Interessen der Verbandsmitglieder sicherstellen. Einer Genehmigung der Verbandssatzung durch die höhere Landesplanungsbehörde gemäß Art. 20 Abs. 1 Satz 1 des Gesetzes über die kommunale Zusammenarbeit (KommZG) bedarf es nicht. Eine Wahrnehmung von Aufgaben und Befugnissen nach Art. 8 Abs. 1 Satz 3 setzt eine entsprechende Regelung in der Verbandssatzung voraus. Eine Umlagepflicht einzelner Verbandsmitglieder zur Finanzierung dieser Wahrnehmung setzt deren Einverständnis zur entsprechenden Änderung der Verbandssatzung voraus.</w:t>
      </w:r>
    </w:p>
    <w:p>
      <w:r>
        <w:t xml:space="preserve">(2) Die Verbandssatzung wird von der zuständigen höheren Landesplanungsbehörde erlassen, wenn aus rechtlichen Gründen von der höheren Landesplanungsbehörde geforderte Satzungsänderungen innerhalb einer angemessenen Frist nicht beschlossen werden. Den Verbandsmitgliedern ist vorher Gelegenheit zur Stellungnahme zu geben.</w:t>
      </w:r>
    </w:p>
    <w:p>
      <w:r>
        <w:rPr>
          <w:color w:val="555555"/>
          <w:sz w:val="17"/>
        </w:rPr>
        <w:t xml:space="preserve">Zitiervorschlag: Art 9 BayLplG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https://recht.nulegal.eu/gesetze/BayLplG/9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