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BayLplG (Bayern) — Leitziel und Leitmaßstab der Landesplanung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Leitziel der Landesplanung ist es, gleichwertige Lebens- und Arbeitsbedingungen in allen Teilräumen zu schaffen und zu erhalten.</w:t>
      </w:r>
    </w:p>
    <w:p>
      <w:r>
        <w:t xml:space="preserve">(2) Leitmaßstab der Landesplanung ist eine nachhaltige Raumentwicklung, die die wirtschaftlichen, ökologischen und sozialen Belange des Raums in Einklang bringt und zu einer dauerhaften, großräumig ausgewogenen Ordnung führt.</w:t>
      </w:r>
    </w:p>
    <w:p>
      <w:r>
        <w:rPr>
          <w:color w:val="555555"/>
          <w:sz w:val="17"/>
        </w:rPr>
        <w:t xml:space="preserve">Zitiervorschlag: Art 5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