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BayLplG (Bayern) — Unanwendbarkeit des Raumordnungsgesetzes</w:t>
      </w:r>
    </w:p>
    <w:p>
      <w:r>
        <w:rPr>
          <w:color w:val="555555"/>
          <w:sz w:val="18"/>
        </w:rPr>
        <w:t xml:space="preserve">Bayerisches Landesplanungsgesetz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Raumordnungsgesetz findet im sachlichen Anwendungsbereich dieses Gesetzes keine Anwendung, soweit dieses Gesetz nichts Abweichendes bestimmt.</w:t>
      </w:r>
    </w:p>
    <w:p>
      <w:r>
        <w:rPr>
          <w:color w:val="555555"/>
          <w:sz w:val="17"/>
        </w:rPr>
        <w:t xml:space="preserve">Zitiervorschlag: Art 32 BayLplG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https://recht.nulegal.eu/gesetze/BayLplG/32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