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BayLplG (Bayern) — Raumordnerische Zusammenarbeit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Entwicklung, Ordnung und Sicherung des Raums sollen die Träger der Landes- und Regionalplanung mit den maßgeblichen öffentlichen Stellen und Personen des Privatrechts zusammenarbeiten oder auf die Zusammenarbeit dieser Stellen und Personen hinwirken. Die Zusammenarbeit nach Satz 1 kann innerhalb eines Teilraums, zwischen Teilräumen sowie grenzüberschreitend erfolgen. Formen der Zusammenarbeit können insbesondere sein:</w:t>
      </w:r>
    </w:p>
    <w:p>
      <w:r>
        <w:t xml:space="preserve">1. Vertragliche Vereinbarungen und</w:t>
      </w:r>
    </w:p>
    <w:p>
      <w:r>
        <w:t xml:space="preserve">2. Maßnahmen zur eigenständigen Entwicklung von Teilräumen wie regionale Entwicklungskonzepte sowie regionale und interkommunale Netzwerke und Kooperationsstrukturen.</w:t>
      </w:r>
    </w:p>
    <w:p>
      <w:r>
        <w:rPr>
          <w:color w:val="555555"/>
          <w:sz w:val="17"/>
        </w:rPr>
        <w:t xml:space="preserve">Zitiervorschlag: Art 26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