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19 BayLplG (Bayern) — Abwägung</w:t>
      </w:r>
    </w:p>
    <w:p>
      <w:r>
        <w:rPr>
          <w:color w:val="555555"/>
          <w:sz w:val="18"/>
        </w:rPr>
        <w:t xml:space="preserve">Bayerisches Landesplanungsgesetz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Bei der Aufstellung der Festlegungen in Raumordnungsplänen sind die öffentlichen und privaten Belange, soweit die Belange auf der jeweiligen Planungsebene erkennbar und von Bedeutung sind, abzuwägen; bei der Festlegung von Zielen der Raumordnung sind diese abschließend abzuwägen. In der Abwägung sind auch</w:t>
      </w:r>
    </w:p>
    <w:p>
      <w:r>
        <w:t xml:space="preserve">1. die im Rahmen des Art. 14 Abs. 1 oder Art. 15 Abs. 1 Satz 1 eingeholten Beiträge,</w:t>
      </w:r>
    </w:p>
    <w:p>
      <w:r>
        <w:t xml:space="preserve">2. der nach Art. 17 erstellte Umweltbericht,</w:t>
      </w:r>
    </w:p>
    <w:p>
      <w:r>
        <w:t xml:space="preserve">3. die Ergebnisse der nach Art. 18 durchgeführten Beteiligungsverfahren und</w:t>
      </w:r>
    </w:p>
    <w:p>
      <w:r>
        <w:t xml:space="preserve">4. bei Regionalplänen sowie bei flächenhaften Festlegungen im Landesentwicklungsprogramm die Flächennutzungspläne und die Ergebnisse der von Gemeinden beschlossenen sonstigen städtebaulichen Planungen</w:t>
      </w:r>
    </w:p>
    <w:p>
      <w:r>
        <w:t xml:space="preserve">zu berücksichtigen.</w:t>
      </w:r>
    </w:p>
    <w:p>
      <w:r>
        <w:rPr>
          <w:color w:val="555555"/>
          <w:sz w:val="17"/>
        </w:rPr>
        <w:t xml:space="preserve">Zitiervorschlag: Art 19 BayLplG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https://recht.nulegal.eu/gesetze/BayLplG/19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